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30" w:rsidRDefault="00B86A30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32"/>
          <w:szCs w:val="32"/>
          <w:lang w:bidi="ar-SA"/>
        </w:rPr>
      </w:pPr>
    </w:p>
    <w:p w:rsidR="004034B2" w:rsidRDefault="004034B2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32"/>
          <w:szCs w:val="32"/>
          <w:lang w:bidi="ar-SA"/>
        </w:rPr>
      </w:pPr>
    </w:p>
    <w:p w:rsidR="006F1E70" w:rsidRPr="001A5A68" w:rsidRDefault="006F1E70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36"/>
          <w:szCs w:val="36"/>
          <w:lang w:bidi="ar-SA"/>
        </w:rPr>
      </w:pPr>
      <w:r w:rsidRPr="001A5A68">
        <w:rPr>
          <w:rFonts w:ascii="PoynterAgateOne-CondBold" w:hAnsi="PoynterAgateOne-CondBold" w:cs="PoynterAgateOne-CondBold"/>
          <w:b/>
          <w:bCs/>
          <w:sz w:val="36"/>
          <w:szCs w:val="36"/>
          <w:lang w:bidi="ar-SA"/>
        </w:rPr>
        <w:t xml:space="preserve">Threatened with Jail </w:t>
      </w:r>
      <w:r w:rsidR="00FA03AB" w:rsidRPr="001A5A68">
        <w:rPr>
          <w:rFonts w:ascii="PoynterAgateOne-CondBold" w:hAnsi="PoynterAgateOne-CondBold" w:cs="PoynterAgateOne-CondBold"/>
          <w:b/>
          <w:bCs/>
          <w:sz w:val="36"/>
          <w:szCs w:val="36"/>
          <w:lang w:bidi="ar-SA"/>
        </w:rPr>
        <w:t>for Refusing to Lie!</w:t>
      </w:r>
    </w:p>
    <w:p w:rsidR="006F1E70" w:rsidRDefault="006F1E70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16"/>
          <w:szCs w:val="16"/>
          <w:lang w:bidi="ar-SA"/>
        </w:rPr>
      </w:pPr>
    </w:p>
    <w:p w:rsidR="006F1E70" w:rsidRDefault="006F1E70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16"/>
          <w:szCs w:val="16"/>
          <w:lang w:bidi="ar-SA"/>
        </w:rPr>
      </w:pP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Court Watchers Unite</w:t>
      </w:r>
    </w:p>
    <w:p w:rsidR="00FA03AB" w:rsidRDefault="00FA03AB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Doreen Hendrickson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, wife of Pete Hendrickson, author of</w:t>
      </w: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Italic" w:hAnsi="PoynterAgateOne-CondItalic" w:cs="PoynterAgateOne-CondItalic"/>
          <w:i/>
          <w:iCs/>
          <w:sz w:val="28"/>
          <w:szCs w:val="28"/>
          <w:lang w:bidi="ar-SA"/>
        </w:rPr>
      </w:pPr>
      <w:r w:rsidRPr="006F1E70">
        <w:rPr>
          <w:rFonts w:ascii="PoynterAgateOne-CondItalic" w:hAnsi="PoynterAgateOne-CondItalic" w:cs="PoynterAgateOne-CondItalic"/>
          <w:i/>
          <w:iCs/>
          <w:sz w:val="28"/>
          <w:szCs w:val="28"/>
          <w:lang w:bidi="ar-SA"/>
        </w:rPr>
        <w:t xml:space="preserve">Cracking the Code- The Fascinating Truth </w:t>
      </w:r>
      <w:proofErr w:type="gramStart"/>
      <w:r w:rsidRPr="006F1E70">
        <w:rPr>
          <w:rFonts w:ascii="PoynterAgateOne-CondItalic" w:hAnsi="PoynterAgateOne-CondItalic" w:cs="PoynterAgateOne-CondItalic"/>
          <w:i/>
          <w:iCs/>
          <w:sz w:val="28"/>
          <w:szCs w:val="28"/>
          <w:lang w:bidi="ar-SA"/>
        </w:rPr>
        <w:t>About</w:t>
      </w:r>
      <w:proofErr w:type="gramEnd"/>
      <w:r w:rsidRPr="006F1E70">
        <w:rPr>
          <w:rFonts w:ascii="PoynterAgateOne-CondItalic" w:hAnsi="PoynterAgateOne-CondItalic" w:cs="PoynterAgateOne-CondItalic"/>
          <w:i/>
          <w:iCs/>
          <w:sz w:val="28"/>
          <w:szCs w:val="28"/>
          <w:lang w:bidi="ar-SA"/>
        </w:rPr>
        <w:t xml:space="preserve"> Taxation In</w:t>
      </w:r>
    </w:p>
    <w:p w:rsidR="00B00B4C" w:rsidRPr="006F1E70" w:rsidRDefault="00FA03AB" w:rsidP="00FA03AB">
      <w:pPr>
        <w:autoSpaceDE w:val="0"/>
        <w:autoSpaceDN w:val="0"/>
        <w:adjustRightInd w:val="0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Italic" w:hAnsi="PoynterAgateOne-CondItalic" w:cs="PoynterAgateOne-CondItalic"/>
          <w:i/>
          <w:iCs/>
          <w:sz w:val="28"/>
          <w:szCs w:val="28"/>
          <w:lang w:bidi="ar-SA"/>
        </w:rPr>
        <w:t xml:space="preserve">                     </w:t>
      </w:r>
      <w:r w:rsidR="00B00B4C" w:rsidRPr="006F1E70">
        <w:rPr>
          <w:rFonts w:ascii="PoynterAgateOne-CondItalic" w:hAnsi="PoynterAgateOne-CondItalic" w:cs="PoynterAgateOne-CondItalic"/>
          <w:i/>
          <w:iCs/>
          <w:sz w:val="28"/>
          <w:szCs w:val="28"/>
          <w:lang w:bidi="ar-SA"/>
        </w:rPr>
        <w:t>America</w:t>
      </w:r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, has a court hearing set </w:t>
      </w:r>
      <w:proofErr w:type="gramStart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for :</w:t>
      </w:r>
      <w:proofErr w:type="gramEnd"/>
    </w:p>
    <w:p w:rsidR="00FA03AB" w:rsidRDefault="00FA03AB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 xml:space="preserve">Thursday, April 9, 2015, 12 </w:t>
      </w:r>
      <w:proofErr w:type="gramStart"/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Noon</w:t>
      </w:r>
      <w:proofErr w:type="gramEnd"/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231 W. Lafayette, Detroit, 2nd floor,</w:t>
      </w: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 xml:space="preserve">Victoria </w:t>
      </w:r>
      <w:proofErr w:type="gramStart"/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Roberts</w:t>
      </w:r>
      <w:proofErr w:type="gramEnd"/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 xml:space="preserve"> courtroom</w:t>
      </w: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for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sentencing on a contempt of court charge</w:t>
      </w:r>
    </w:p>
    <w:p w:rsidR="00FA03AB" w:rsidRDefault="00FA03AB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</w:p>
    <w:p w:rsidR="00B00B4C" w:rsidRPr="006F1E70" w:rsidRDefault="004B4151" w:rsidP="004B4151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 </w:t>
      </w:r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This is a case of retaliation against Doreen’s husband for</w:t>
      </w:r>
    </w:p>
    <w:p w:rsidR="004B4151" w:rsidRDefault="004B4151" w:rsidP="004B4151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 </w:t>
      </w:r>
      <w:proofErr w:type="gramStart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his</w:t>
      </w:r>
      <w:proofErr w:type="gramEnd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book, which clearly defines the difference between tax</w:t>
      </w:r>
      <w:r>
        <w:rPr>
          <w:rFonts w:ascii="PoynterAgateOne-Cond" w:hAnsi="PoynterAgateOne-Cond" w:cs="PoynterAgateOne-Cond"/>
          <w:sz w:val="28"/>
          <w:szCs w:val="28"/>
          <w:lang w:bidi="ar-SA"/>
        </w:rPr>
        <w:t>-</w:t>
      </w:r>
    </w:p>
    <w:p w:rsidR="00B00B4C" w:rsidRPr="006F1E70" w:rsidRDefault="00952167" w:rsidP="001B65C0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   </w:t>
      </w:r>
      <w:proofErr w:type="gramStart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able</w:t>
      </w:r>
      <w:proofErr w:type="gramEnd"/>
      <w:r w:rsidR="001B65C0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income and earnings that are not taxable under the</w:t>
      </w:r>
    </w:p>
    <w:p w:rsidR="00B00B4C" w:rsidRPr="006F1E70" w:rsidRDefault="001B65C0" w:rsidP="001B65C0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 </w:t>
      </w:r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IRS Code. Though numerous attempts have been made to</w:t>
      </w:r>
    </w:p>
    <w:p w:rsidR="00B00B4C" w:rsidRPr="006F1E70" w:rsidRDefault="00B00B4C" w:rsidP="001B65C0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discredit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and suppress the book, especially through deliberate</w:t>
      </w:r>
    </w:p>
    <w:p w:rsidR="00B00B4C" w:rsidRPr="006F1E70" w:rsidRDefault="001B65C0" w:rsidP="001B65C0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 </w:t>
      </w:r>
      <w:r w:rsidR="00952167">
        <w:rPr>
          <w:rFonts w:ascii="PoynterAgateOne-Cond" w:hAnsi="PoynterAgateOne-Cond" w:cs="PoynterAgateOne-Cond"/>
          <w:sz w:val="28"/>
          <w:szCs w:val="28"/>
          <w:lang w:bidi="ar-SA"/>
        </w:rPr>
        <w:t xml:space="preserve">  </w:t>
      </w:r>
      <w:proofErr w:type="gramStart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misrepresentation</w:t>
      </w:r>
      <w:proofErr w:type="gramEnd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of its contents by government officials,</w:t>
      </w:r>
    </w:p>
    <w:p w:rsidR="00B00B4C" w:rsidRPr="006F1E70" w:rsidRDefault="00952167" w:rsidP="001B65C0">
      <w:pPr>
        <w:autoSpaceDE w:val="0"/>
        <w:autoSpaceDN w:val="0"/>
        <w:adjustRightInd w:val="0"/>
        <w:ind w:left="720" w:firstLine="720"/>
        <w:jc w:val="both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proofErr w:type="gramStart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nothing</w:t>
      </w:r>
      <w:proofErr w:type="gramEnd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actually revealed in the book has ever been</w:t>
      </w:r>
      <w:r w:rsidR="001B65C0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disputed.</w:t>
      </w:r>
    </w:p>
    <w:p w:rsidR="00952167" w:rsidRDefault="00952167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This is Not a Tax Case</w:t>
      </w:r>
    </w:p>
    <w:p w:rsidR="00B33D9A" w:rsidRDefault="00B00B4C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Doreen was not convicted of falsifying a tax return, tax </w:t>
      </w:r>
    </w:p>
    <w:p w:rsidR="00B00B4C" w:rsidRPr="006F1E70" w:rsidRDefault="00B00B4C" w:rsidP="00B33D9A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evasion</w:t>
      </w:r>
      <w:r w:rsidR="00D372BB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or even willful failure to file. Doreen was convicted</w:t>
      </w: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because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she refused to declare that she believes certain of</w:t>
      </w:r>
    </w:p>
    <w:p w:rsidR="00B33D9A" w:rsidRDefault="00B00B4C" w:rsidP="00B33D9A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her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earnings are the taxable variety! A judge ordered her</w:t>
      </w:r>
      <w:r w:rsidR="00B33D9A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to </w:t>
      </w:r>
    </w:p>
    <w:p w:rsidR="00B00B4C" w:rsidRPr="006F1E70" w:rsidRDefault="00B33D9A" w:rsidP="00B33D9A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r>
        <w:rPr>
          <w:rFonts w:ascii="PoynterAgateOne-Cond" w:hAnsi="PoynterAgateOne-Cond" w:cs="PoynterAgateOne-Cond"/>
          <w:sz w:val="28"/>
          <w:szCs w:val="28"/>
          <w:lang w:bidi="ar-SA"/>
        </w:rPr>
        <w:t xml:space="preserve">  </w:t>
      </w:r>
      <w:proofErr w:type="gramStart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>declare</w:t>
      </w:r>
      <w:proofErr w:type="gramEnd"/>
      <w:r w:rsidR="00B00B4C"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a belief that those earnings are taxable, and Doreen,</w:t>
      </w:r>
    </w:p>
    <w:p w:rsidR="006E36CD" w:rsidRDefault="00B00B4C" w:rsidP="00B33D9A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who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believes otherwise and had said so under oath,</w:t>
      </w:r>
      <w:r w:rsidR="00B33D9A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rightfully </w:t>
      </w:r>
    </w:p>
    <w:p w:rsidR="006E36CD" w:rsidRDefault="00B00B4C" w:rsidP="006E36CD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refused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. She was then charged with contempt of</w:t>
      </w:r>
      <w:r w:rsidR="006E36CD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court for </w:t>
      </w:r>
    </w:p>
    <w:p w:rsidR="006E36CD" w:rsidRDefault="00B00B4C" w:rsidP="006E36CD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disobeying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a judge’s orders, which is the charge</w:t>
      </w:r>
      <w:r w:rsidR="006E36CD">
        <w:rPr>
          <w:rFonts w:ascii="PoynterAgateOne-Cond" w:hAnsi="PoynterAgateOne-Cond" w:cs="PoynterAgateOne-Cond"/>
          <w:sz w:val="28"/>
          <w:szCs w:val="28"/>
          <w:lang w:bidi="ar-SA"/>
        </w:rPr>
        <w:t xml:space="preserve"> 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upon which </w:t>
      </w:r>
    </w:p>
    <w:p w:rsidR="00B00B4C" w:rsidRPr="006F1E70" w:rsidRDefault="00B00B4C" w:rsidP="006E36CD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proofErr w:type="gramStart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she</w:t>
      </w:r>
      <w:proofErr w:type="gramEnd"/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was convicted.</w:t>
      </w:r>
    </w:p>
    <w:p w:rsidR="006E36CD" w:rsidRDefault="006E36CD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Let’s Pack the Courtroom</w:t>
      </w:r>
    </w:p>
    <w:p w:rsidR="00B00B4C" w:rsidRPr="006F1E70" w:rsidRDefault="00B00B4C" w:rsidP="00B00B4C">
      <w:pPr>
        <w:autoSpaceDE w:val="0"/>
        <w:autoSpaceDN w:val="0"/>
        <w:adjustRightInd w:val="0"/>
        <w:jc w:val="center"/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</w:pPr>
      <w:r w:rsidRPr="006F1E70">
        <w:rPr>
          <w:rFonts w:ascii="PoynterAgateOne-CondBold" w:hAnsi="PoynterAgateOne-CondBold" w:cs="PoynterAgateOne-CondBold"/>
          <w:b/>
          <w:bCs/>
          <w:sz w:val="28"/>
          <w:szCs w:val="28"/>
          <w:lang w:bidi="ar-SA"/>
        </w:rPr>
        <w:t>Freedom and Justice Demand Active Participation!</w:t>
      </w:r>
    </w:p>
    <w:p w:rsidR="006E36CD" w:rsidRDefault="006E36CD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</w:p>
    <w:p w:rsidR="00B00B4C" w:rsidRDefault="00AC4132" w:rsidP="00B00B4C">
      <w:pPr>
        <w:autoSpaceDE w:val="0"/>
        <w:autoSpaceDN w:val="0"/>
        <w:adjustRightInd w:val="0"/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  <w:hyperlink r:id="rId6" w:anchor="1" w:history="1">
        <w:r w:rsidR="003E28ED" w:rsidRPr="00AD78E7">
          <w:rPr>
            <w:rStyle w:val="Hyperlink"/>
            <w:rFonts w:ascii="PoynterAgateOne-Cond" w:hAnsi="PoynterAgateOne-Cond" w:cs="PoynterAgateOne-Cond"/>
            <w:sz w:val="28"/>
            <w:szCs w:val="28"/>
            <w:lang w:bidi="ar-SA"/>
          </w:rPr>
          <w:t>http://losthorizons.com/MidEditionUpdate.htm#1</w:t>
        </w:r>
      </w:hyperlink>
    </w:p>
    <w:p w:rsidR="005B416C" w:rsidRDefault="005B416C" w:rsidP="00B00B4C">
      <w:pPr>
        <w:jc w:val="center"/>
        <w:rPr>
          <w:rFonts w:ascii="PoynterAgateOne-Cond" w:hAnsi="PoynterAgateOne-Cond" w:cs="PoynterAgateOne-Cond"/>
          <w:sz w:val="28"/>
          <w:szCs w:val="28"/>
          <w:lang w:bidi="ar-SA"/>
        </w:rPr>
      </w:pPr>
    </w:p>
    <w:p w:rsidR="00253D85" w:rsidRDefault="00B00B4C" w:rsidP="00B00B4C">
      <w:pPr>
        <w:jc w:val="center"/>
      </w:pP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>Published</w:t>
      </w:r>
      <w:r w:rsidR="005B416C">
        <w:rPr>
          <w:rFonts w:ascii="PoynterAgateOne-Cond" w:hAnsi="PoynterAgateOne-Cond" w:cs="PoynterAgateOne-Cond"/>
          <w:sz w:val="28"/>
          <w:szCs w:val="28"/>
          <w:lang w:bidi="ar-SA"/>
        </w:rPr>
        <w:t xml:space="preserve"> in the</w:t>
      </w:r>
      <w:r w:rsidR="006E36CD">
        <w:rPr>
          <w:rFonts w:ascii="PoynterAgateOne-Cond" w:hAnsi="PoynterAgateOne-Cond" w:cs="PoynterAgateOne-Cond"/>
          <w:sz w:val="28"/>
          <w:szCs w:val="28"/>
          <w:lang w:bidi="ar-SA"/>
        </w:rPr>
        <w:t xml:space="preserve"> Oakland Press</w:t>
      </w:r>
      <w:r w:rsidR="005B416C">
        <w:rPr>
          <w:rFonts w:ascii="PoynterAgateOne-Cond" w:hAnsi="PoynterAgateOne-Cond" w:cs="PoynterAgateOne-Cond"/>
          <w:sz w:val="28"/>
          <w:szCs w:val="28"/>
          <w:lang w:bidi="ar-SA"/>
        </w:rPr>
        <w:t>, Sunday</w:t>
      </w:r>
      <w:r w:rsidRPr="006F1E70">
        <w:rPr>
          <w:rFonts w:ascii="PoynterAgateOne-Cond" w:hAnsi="PoynterAgateOne-Cond" w:cs="PoynterAgateOne-Cond"/>
          <w:sz w:val="28"/>
          <w:szCs w:val="28"/>
          <w:lang w:bidi="ar-SA"/>
        </w:rPr>
        <w:t xml:space="preserve"> April 5, 2015</w:t>
      </w:r>
    </w:p>
    <w:sectPr w:rsidR="00253D85" w:rsidSect="00B86A3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CA" w:rsidRDefault="00FC36CA" w:rsidP="00982665">
      <w:r>
        <w:separator/>
      </w:r>
    </w:p>
  </w:endnote>
  <w:endnote w:type="continuationSeparator" w:id="0">
    <w:p w:rsidR="00FC36CA" w:rsidRDefault="00FC36CA" w:rsidP="0098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oynterAgateOne-Cond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ynterAgateOne-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oynterAgateOne-Con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CA" w:rsidRDefault="00FC36CA" w:rsidP="00982665">
      <w:r>
        <w:separator/>
      </w:r>
    </w:p>
  </w:footnote>
  <w:footnote w:type="continuationSeparator" w:id="0">
    <w:p w:rsidR="00FC36CA" w:rsidRDefault="00FC36CA" w:rsidP="00982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4C"/>
    <w:rsid w:val="0000706F"/>
    <w:rsid w:val="00010DED"/>
    <w:rsid w:val="00067C33"/>
    <w:rsid w:val="00087CDD"/>
    <w:rsid w:val="00144BAD"/>
    <w:rsid w:val="001476EF"/>
    <w:rsid w:val="001A5A68"/>
    <w:rsid w:val="001B65C0"/>
    <w:rsid w:val="00253D85"/>
    <w:rsid w:val="003A15E3"/>
    <w:rsid w:val="003E28ED"/>
    <w:rsid w:val="004034B2"/>
    <w:rsid w:val="004B4151"/>
    <w:rsid w:val="004E6EBC"/>
    <w:rsid w:val="00541F06"/>
    <w:rsid w:val="0059214E"/>
    <w:rsid w:val="005A52A6"/>
    <w:rsid w:val="005B416C"/>
    <w:rsid w:val="00681BB6"/>
    <w:rsid w:val="006E36CD"/>
    <w:rsid w:val="006F1E70"/>
    <w:rsid w:val="00707858"/>
    <w:rsid w:val="00763C03"/>
    <w:rsid w:val="007F466E"/>
    <w:rsid w:val="00857FA0"/>
    <w:rsid w:val="0087442E"/>
    <w:rsid w:val="009045A7"/>
    <w:rsid w:val="00931F26"/>
    <w:rsid w:val="00947C81"/>
    <w:rsid w:val="00952167"/>
    <w:rsid w:val="00982665"/>
    <w:rsid w:val="009C37C1"/>
    <w:rsid w:val="00A06760"/>
    <w:rsid w:val="00A26FC1"/>
    <w:rsid w:val="00AC4132"/>
    <w:rsid w:val="00AE6BF0"/>
    <w:rsid w:val="00B00B4C"/>
    <w:rsid w:val="00B12621"/>
    <w:rsid w:val="00B33D9A"/>
    <w:rsid w:val="00B86A30"/>
    <w:rsid w:val="00BE6110"/>
    <w:rsid w:val="00C22068"/>
    <w:rsid w:val="00C32BCB"/>
    <w:rsid w:val="00C85883"/>
    <w:rsid w:val="00CC18EA"/>
    <w:rsid w:val="00D210F5"/>
    <w:rsid w:val="00D257C6"/>
    <w:rsid w:val="00D372BB"/>
    <w:rsid w:val="00F3472A"/>
    <w:rsid w:val="00F76799"/>
    <w:rsid w:val="00F9502F"/>
    <w:rsid w:val="00FA03AB"/>
    <w:rsid w:val="00FC18A0"/>
    <w:rsid w:val="00FC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2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F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F2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F2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F2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F2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F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F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F2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F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F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1F2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31F2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F2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F2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F2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F2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F2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31F2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31F2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F2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31F2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31F26"/>
    <w:rPr>
      <w:b/>
      <w:bCs/>
    </w:rPr>
  </w:style>
  <w:style w:type="character" w:styleId="Emphasis">
    <w:name w:val="Emphasis"/>
    <w:basedOn w:val="DefaultParagraphFont"/>
    <w:uiPriority w:val="20"/>
    <w:qFormat/>
    <w:rsid w:val="00931F2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31F26"/>
    <w:rPr>
      <w:szCs w:val="32"/>
    </w:rPr>
  </w:style>
  <w:style w:type="paragraph" w:styleId="ListParagraph">
    <w:name w:val="List Paragraph"/>
    <w:basedOn w:val="Normal"/>
    <w:uiPriority w:val="34"/>
    <w:qFormat/>
    <w:rsid w:val="00931F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F2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31F2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F2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F26"/>
    <w:rPr>
      <w:b/>
      <w:i/>
      <w:sz w:val="24"/>
    </w:rPr>
  </w:style>
  <w:style w:type="character" w:styleId="SubtleEmphasis">
    <w:name w:val="Subtle Emphasis"/>
    <w:uiPriority w:val="19"/>
    <w:qFormat/>
    <w:rsid w:val="00931F2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31F2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31F2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31F2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31F2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F26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26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66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26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66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26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28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sthorizons.com/MidEditionUpdate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 Inc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2015-04-05T16:48:00Z</dcterms:created>
  <dcterms:modified xsi:type="dcterms:W3CDTF">2015-04-06T03:01:00Z</dcterms:modified>
</cp:coreProperties>
</file>